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C3" w:rsidRPr="00EB10C3" w:rsidRDefault="00EB10C3" w:rsidP="00EB10C3">
      <w:pPr>
        <w:shd w:val="clear" w:color="auto" w:fill="EEEEEE"/>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b/>
          <w:bCs/>
          <w:color w:val="000000"/>
          <w:kern w:val="0"/>
          <w:sz w:val="18"/>
          <w:szCs w:val="18"/>
          <w:lang w:eastAsia="ru-RU"/>
        </w:rPr>
        <w:br/>
      </w:r>
      <w:r w:rsidRPr="00EB10C3">
        <w:rPr>
          <w:rFonts w:ascii="Tahoma" w:eastAsia="Times New Roman" w:hAnsi="Tahoma" w:cs="Tahoma"/>
          <w:b/>
          <w:bCs/>
          <w:color w:val="000000"/>
          <w:kern w:val="0"/>
          <w:sz w:val="18"/>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rsidR="00EB10C3" w:rsidRPr="00EB10C3" w:rsidRDefault="00EB10C3" w:rsidP="00EB10C3">
      <w:pPr>
        <w:shd w:val="clear" w:color="auto" w:fill="EEEEEE"/>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6"/>
        <w:gridCol w:w="5321"/>
        <w:gridCol w:w="896"/>
        <w:gridCol w:w="896"/>
        <w:gridCol w:w="2105"/>
      </w:tblGrid>
      <w:tr w:rsidR="00EB10C3" w:rsidRPr="00EB10C3" w:rsidTr="00EB10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п/п</w:t>
            </w:r>
          </w:p>
        </w:tc>
        <w:tc>
          <w:tcPr>
            <w:tcW w:w="2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Наименование</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и реквизиты акта</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Краткое описание круга лиц и (или) перечня объектов,</w:t>
            </w:r>
            <w:r w:rsidRPr="00EB10C3">
              <w:rPr>
                <w:rFonts w:ascii="Tahoma" w:eastAsia="Times New Roman" w:hAnsi="Tahoma" w:cs="Tahoma"/>
                <w:color w:val="000000"/>
                <w:kern w:val="0"/>
                <w:sz w:val="18"/>
                <w:szCs w:val="18"/>
                <w:lang w:eastAsia="ru-RU"/>
              </w:rPr>
              <w:br/>
              <w:t>в отношении которых устанавливаются обязательные требования</w:t>
            </w: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Указание</w:t>
            </w:r>
            <w:r w:rsidRPr="00EB10C3">
              <w:rPr>
                <w:rFonts w:ascii="Tahoma" w:eastAsia="Times New Roman" w:hAnsi="Tahoma" w:cs="Tahoma"/>
                <w:color w:val="000000"/>
                <w:kern w:val="0"/>
                <w:sz w:val="18"/>
                <w:szCs w:val="18"/>
                <w:lang w:eastAsia="ru-RU"/>
              </w:rPr>
              <w:br/>
              <w:t>на структурные единицы акта, соблюдение которых оценивается</w:t>
            </w:r>
            <w:r w:rsidRPr="00EB10C3">
              <w:rPr>
                <w:rFonts w:ascii="Tahoma" w:eastAsia="Times New Roman" w:hAnsi="Tahoma" w:cs="Tahoma"/>
                <w:color w:val="000000"/>
                <w:kern w:val="0"/>
                <w:sz w:val="18"/>
                <w:szCs w:val="18"/>
                <w:lang w:eastAsia="ru-RU"/>
              </w:rPr>
              <w:br/>
              <w:t>при проведении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мероприятий</w:t>
            </w:r>
            <w:r w:rsidRPr="00EB10C3">
              <w:rPr>
                <w:rFonts w:ascii="Tahoma" w:eastAsia="Times New Roman" w:hAnsi="Tahoma" w:cs="Tahoma"/>
                <w:color w:val="000000"/>
                <w:kern w:val="0"/>
                <w:sz w:val="18"/>
                <w:szCs w:val="18"/>
                <w:lang w:eastAsia="ru-RU"/>
              </w:rPr>
              <w:br/>
              <w:t>по контролю</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Текст акта</w:t>
            </w:r>
          </w:p>
        </w:tc>
      </w:tr>
      <w:tr w:rsidR="00EB10C3" w:rsidRPr="00EB10C3" w:rsidTr="00EB10C3">
        <w:trPr>
          <w:tblCellSpacing w:w="0" w:type="dxa"/>
        </w:trPr>
        <w:tc>
          <w:tcPr>
            <w:tcW w:w="145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color w:val="000000"/>
                <w:kern w:val="36"/>
                <w:sz w:val="48"/>
                <w:szCs w:val="48"/>
                <w:lang w:eastAsia="ru-RU"/>
              </w:rPr>
              <w:t>Раздел I. Международные договоры Российской Федерации и акты органов Евразийского экономического союза</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w:t>
            </w:r>
          </w:p>
        </w:tc>
      </w:tr>
      <w:tr w:rsidR="00EB10C3" w:rsidRPr="00EB10C3" w:rsidTr="00EB10C3">
        <w:trPr>
          <w:tblCellSpacing w:w="0" w:type="dxa"/>
        </w:trPr>
        <w:tc>
          <w:tcPr>
            <w:tcW w:w="145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color w:val="000000"/>
                <w:kern w:val="36"/>
                <w:sz w:val="48"/>
                <w:szCs w:val="48"/>
                <w:lang w:eastAsia="ru-RU"/>
              </w:rPr>
              <w:t>Раздел II. Федеральные законы</w:t>
            </w:r>
          </w:p>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color w:val="000000"/>
                <w:kern w:val="36"/>
                <w:sz w:val="48"/>
                <w:szCs w:val="48"/>
                <w:lang w:eastAsia="ru-RU"/>
              </w:rPr>
              <w:t> </w:t>
            </w:r>
          </w:p>
        </w:tc>
      </w:tr>
      <w:tr w:rsidR="00EB10C3" w:rsidRPr="00EB10C3" w:rsidTr="00EB10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i/>
                <w:iCs/>
                <w:color w:val="000000"/>
                <w:kern w:val="36"/>
                <w:sz w:val="48"/>
                <w:szCs w:val="48"/>
                <w:lang w:eastAsia="ru-RU"/>
              </w:rPr>
              <w:t>Кодекс </w:t>
            </w:r>
            <w:r w:rsidRPr="00EB10C3">
              <w:rPr>
                <w:rFonts w:ascii="Tahoma" w:eastAsia="Times New Roman" w:hAnsi="Tahoma" w:cs="Tahoma"/>
                <w:b/>
                <w:bCs/>
                <w:color w:val="000000"/>
                <w:kern w:val="36"/>
                <w:sz w:val="48"/>
                <w:szCs w:val="48"/>
                <w:lang w:eastAsia="ru-RU"/>
              </w:rPr>
              <w:t>Российской Федерации об </w:t>
            </w:r>
            <w:r w:rsidRPr="00EB10C3">
              <w:rPr>
                <w:rFonts w:ascii="Tahoma" w:eastAsia="Times New Roman" w:hAnsi="Tahoma" w:cs="Tahoma"/>
                <w:b/>
                <w:bCs/>
                <w:i/>
                <w:iCs/>
                <w:color w:val="000000"/>
                <w:kern w:val="36"/>
                <w:sz w:val="48"/>
                <w:szCs w:val="48"/>
                <w:lang w:eastAsia="ru-RU"/>
              </w:rPr>
              <w:t>административных правонарушениях</w:t>
            </w:r>
            <w:r w:rsidRPr="00EB10C3">
              <w:rPr>
                <w:rFonts w:ascii="Tahoma" w:eastAsia="Times New Roman" w:hAnsi="Tahoma" w:cs="Tahoma"/>
                <w:b/>
                <w:bCs/>
                <w:color w:val="000000"/>
                <w:kern w:val="36"/>
                <w:sz w:val="48"/>
                <w:szCs w:val="48"/>
                <w:lang w:eastAsia="ru-RU"/>
              </w:rPr>
              <w:br/>
              <w:t>от 30 декабря 2001 г. № 195-ФЗ (далее – КоАП РФ)</w:t>
            </w:r>
          </w:p>
        </w:tc>
        <w:tc>
          <w:tcPr>
            <w:tcW w:w="24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юридические лица,</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индивидуальные предприниматели при осуществлении торговой деятельности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статья 14.1</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1. Осуществление предпринимательской деятельности без </w:t>
            </w:r>
            <w:hyperlink r:id="rId5" w:anchor="/document/12123875/entry/0" w:history="1">
              <w:r w:rsidRPr="00EB10C3">
                <w:rPr>
                  <w:rFonts w:ascii="Tahoma" w:eastAsia="Times New Roman" w:hAnsi="Tahoma" w:cs="Tahoma"/>
                  <w:color w:val="33A6E3"/>
                  <w:kern w:val="0"/>
                  <w:sz w:val="18"/>
                  <w:lang w:eastAsia="ru-RU"/>
                </w:rPr>
                <w:t>государственной регистрации</w:t>
              </w:r>
            </w:hyperlink>
            <w:r w:rsidRPr="00EB10C3">
              <w:rPr>
                <w:rFonts w:ascii="Tahoma" w:eastAsia="Times New Roman" w:hAnsi="Tahoma" w:cs="Tahoma"/>
                <w:color w:val="000000"/>
                <w:kern w:val="0"/>
                <w:sz w:val="18"/>
                <w:szCs w:val="18"/>
                <w:lang w:eastAsia="ru-RU"/>
              </w:rPr>
              <w:t>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6" w:anchor="/document/12125267/entry/141712" w:history="1">
              <w:r w:rsidRPr="00EB10C3">
                <w:rPr>
                  <w:rFonts w:ascii="Tahoma" w:eastAsia="Times New Roman" w:hAnsi="Tahoma" w:cs="Tahoma"/>
                  <w:color w:val="33A6E3"/>
                  <w:kern w:val="0"/>
                  <w:sz w:val="18"/>
                  <w:lang w:eastAsia="ru-RU"/>
                </w:rPr>
                <w:t>частью 2 статьи 14.17.1</w:t>
              </w:r>
            </w:hyperlink>
            <w:r w:rsidRPr="00EB10C3">
              <w:rPr>
                <w:rFonts w:ascii="Tahoma" w:eastAsia="Times New Roman" w:hAnsi="Tahoma" w:cs="Tahoma"/>
                <w:color w:val="000000"/>
                <w:kern w:val="0"/>
                <w:sz w:val="18"/>
                <w:szCs w:val="18"/>
                <w:lang w:eastAsia="ru-RU"/>
              </w:rPr>
              <w:t> КоАП РФ, -</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влечет наложение административного штрафа в размере от пятисот до двух тысяч рублей.</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2. Осуществление предпринимательской </w:t>
            </w:r>
            <w:r w:rsidRPr="00EB10C3">
              <w:rPr>
                <w:rFonts w:ascii="Tahoma" w:eastAsia="Times New Roman" w:hAnsi="Tahoma" w:cs="Tahoma"/>
                <w:color w:val="000000"/>
                <w:kern w:val="0"/>
                <w:sz w:val="18"/>
                <w:szCs w:val="18"/>
                <w:lang w:eastAsia="ru-RU"/>
              </w:rPr>
              <w:lastRenderedPageBreak/>
              <w:t>деятельности без специального разрешения (лицензии), если такое разрешение (такая лицензия) обязательно (обязательна), -</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3. Осуществление предпринимательской деятельности с </w:t>
            </w:r>
            <w:r w:rsidRPr="00EB10C3">
              <w:rPr>
                <w:rFonts w:ascii="Tahoma" w:eastAsia="Times New Roman" w:hAnsi="Tahoma" w:cs="Tahoma"/>
                <w:i/>
                <w:iCs/>
                <w:color w:val="000000"/>
                <w:kern w:val="0"/>
                <w:sz w:val="18"/>
                <w:lang w:eastAsia="ru-RU"/>
              </w:rPr>
              <w:t>нарушением</w:t>
            </w:r>
            <w:r w:rsidRPr="00EB10C3">
              <w:rPr>
                <w:rFonts w:ascii="Tahoma" w:eastAsia="Times New Roman" w:hAnsi="Tahoma" w:cs="Tahoma"/>
                <w:color w:val="000000"/>
                <w:kern w:val="0"/>
                <w:sz w:val="18"/>
                <w:szCs w:val="18"/>
                <w:lang w:eastAsia="ru-RU"/>
              </w:rPr>
              <w:t> требований и условий, предусмотренных специальным разрешением (лицензией), -</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влечет предупреждение или наложение </w:t>
            </w:r>
            <w:r w:rsidRPr="00EB10C3">
              <w:rPr>
                <w:rFonts w:ascii="Tahoma" w:eastAsia="Times New Roman" w:hAnsi="Tahoma" w:cs="Tahoma"/>
                <w:i/>
                <w:iCs/>
                <w:color w:val="000000"/>
                <w:kern w:val="0"/>
                <w:sz w:val="18"/>
                <w:lang w:eastAsia="ru-RU"/>
              </w:rPr>
              <w:t>административного</w:t>
            </w:r>
            <w:r w:rsidRPr="00EB10C3">
              <w:rPr>
                <w:rFonts w:ascii="Tahoma" w:eastAsia="Times New Roman" w:hAnsi="Tahoma" w:cs="Tahoma"/>
                <w:color w:val="000000"/>
                <w:kern w:val="0"/>
                <w:sz w:val="18"/>
                <w:szCs w:val="18"/>
                <w:lang w:eastAsia="ru-RU"/>
              </w:rPr>
              <w:t>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4. Осуществление предпринимательской деятельности с грубым </w:t>
            </w:r>
            <w:r w:rsidRPr="00EB10C3">
              <w:rPr>
                <w:rFonts w:ascii="Tahoma" w:eastAsia="Times New Roman" w:hAnsi="Tahoma" w:cs="Tahoma"/>
                <w:i/>
                <w:iCs/>
                <w:color w:val="000000"/>
                <w:kern w:val="0"/>
                <w:sz w:val="18"/>
                <w:lang w:eastAsia="ru-RU"/>
              </w:rPr>
              <w:t>нарушением</w:t>
            </w:r>
            <w:r w:rsidRPr="00EB10C3">
              <w:rPr>
                <w:rFonts w:ascii="Tahoma" w:eastAsia="Times New Roman" w:hAnsi="Tahoma" w:cs="Tahoma"/>
                <w:color w:val="000000"/>
                <w:kern w:val="0"/>
                <w:sz w:val="18"/>
                <w:szCs w:val="18"/>
                <w:lang w:eastAsia="ru-RU"/>
              </w:rPr>
              <w:t> требований и условий, предусмотренных специальным разрешением (лицензией), -</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влечет наложение </w:t>
            </w:r>
            <w:r w:rsidRPr="00EB10C3">
              <w:rPr>
                <w:rFonts w:ascii="Tahoma" w:eastAsia="Times New Roman" w:hAnsi="Tahoma" w:cs="Tahoma"/>
                <w:i/>
                <w:iCs/>
                <w:color w:val="000000"/>
                <w:kern w:val="0"/>
                <w:sz w:val="18"/>
                <w:lang w:eastAsia="ru-RU"/>
              </w:rPr>
              <w:t>административного </w:t>
            </w:r>
            <w:r w:rsidRPr="00EB10C3">
              <w:rPr>
                <w:rFonts w:ascii="Tahoma" w:eastAsia="Times New Roman" w:hAnsi="Tahoma" w:cs="Tahoma"/>
                <w:color w:val="000000"/>
                <w:kern w:val="0"/>
                <w:sz w:val="18"/>
                <w:szCs w:val="18"/>
                <w:lang w:eastAsia="ru-RU"/>
              </w:rPr>
              <w:t>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tc>
      </w:tr>
      <w:tr w:rsidR="00EB10C3" w:rsidRPr="00EB10C3" w:rsidTr="00EB10C3">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2</w:t>
            </w:r>
          </w:p>
        </w:tc>
        <w:tc>
          <w:tcPr>
            <w:tcW w:w="29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color w:val="000000"/>
                <w:kern w:val="36"/>
                <w:sz w:val="48"/>
                <w:szCs w:val="48"/>
                <w:lang w:eastAsia="ru-RU"/>
              </w:rPr>
              <w:t>Федеральный закон от 28 декабря 2009 г. № 381-ФЗ</w:t>
            </w:r>
            <w:r w:rsidRPr="00EB10C3">
              <w:rPr>
                <w:rFonts w:ascii="Tahoma" w:eastAsia="Times New Roman" w:hAnsi="Tahoma" w:cs="Tahoma"/>
                <w:b/>
                <w:bCs/>
                <w:color w:val="000000"/>
                <w:kern w:val="36"/>
                <w:sz w:val="48"/>
                <w:szCs w:val="48"/>
                <w:lang w:eastAsia="ru-RU"/>
              </w:rPr>
              <w:br/>
              <w:t>"Об основах государственного регулирования торговой деятельности в Российской Федерации" (далее - Федеральный закон от 28.12.2009 № 381-ФЗ)</w:t>
            </w:r>
          </w:p>
        </w:tc>
        <w:tc>
          <w:tcPr>
            <w:tcW w:w="243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юридические лица,</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индивидуальные предприниматели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часть 1 статьи 8</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1. </w:t>
            </w:r>
            <w:hyperlink r:id="rId7" w:anchor="/document/12171992/entry/2001" w:history="1">
              <w:r w:rsidRPr="00EB10C3">
                <w:rPr>
                  <w:rFonts w:ascii="Tahoma" w:eastAsia="Times New Roman" w:hAnsi="Tahoma" w:cs="Tahoma"/>
                  <w:color w:val="33A6E3"/>
                  <w:kern w:val="0"/>
                  <w:sz w:val="18"/>
                  <w:lang w:eastAsia="ru-RU"/>
                </w:rPr>
                <w:t>Торговая деятельность</w:t>
              </w:r>
            </w:hyperlink>
            <w:r w:rsidRPr="00EB10C3">
              <w:rPr>
                <w:rFonts w:ascii="Tahoma" w:eastAsia="Times New Roman" w:hAnsi="Tahoma" w:cs="Tahoma"/>
                <w:color w:val="000000"/>
                <w:kern w:val="0"/>
                <w:sz w:val="18"/>
                <w:szCs w:val="18"/>
                <w:lang w:eastAsia="ru-RU"/>
              </w:rPr>
              <w:t> осуществляется хозяйствующими субъектами, предусмотренными Федеральным законом от 28.12.2009 № 381-ФЗ и зарегистрированными в установленном </w:t>
            </w:r>
            <w:hyperlink r:id="rId8" w:anchor="/document/12123875/entry/300" w:history="1">
              <w:r w:rsidRPr="00EB10C3">
                <w:rPr>
                  <w:rFonts w:ascii="Tahoma" w:eastAsia="Times New Roman" w:hAnsi="Tahoma" w:cs="Tahoma"/>
                  <w:color w:val="33A6E3"/>
                  <w:kern w:val="0"/>
                  <w:sz w:val="18"/>
                  <w:lang w:eastAsia="ru-RU"/>
                </w:rPr>
                <w:t>законодательством</w:t>
              </w:r>
            </w:hyperlink>
            <w:r w:rsidRPr="00EB10C3">
              <w:rPr>
                <w:rFonts w:ascii="Tahoma" w:eastAsia="Times New Roman" w:hAnsi="Tahoma" w:cs="Tahoma"/>
                <w:color w:val="000000"/>
                <w:kern w:val="0"/>
                <w:sz w:val="18"/>
                <w:szCs w:val="18"/>
                <w:lang w:eastAsia="ru-RU"/>
              </w:rPr>
              <w:t> Российской Федерации порядке, если иное не предусмотрено </w:t>
            </w:r>
            <w:r w:rsidRPr="00EB10C3">
              <w:rPr>
                <w:rFonts w:ascii="Tahoma" w:eastAsia="Times New Roman" w:hAnsi="Tahoma" w:cs="Tahoma"/>
                <w:i/>
                <w:iCs/>
                <w:color w:val="000000"/>
                <w:kern w:val="0"/>
                <w:sz w:val="18"/>
                <w:lang w:eastAsia="ru-RU"/>
              </w:rPr>
              <w:t>федеральными законами</w:t>
            </w:r>
            <w:r w:rsidRPr="00EB10C3">
              <w:rPr>
                <w:rFonts w:ascii="Tahoma" w:eastAsia="Times New Roman" w:hAnsi="Tahoma" w:cs="Tahoma"/>
                <w:color w:val="000000"/>
                <w:kern w:val="0"/>
                <w:sz w:val="18"/>
                <w:szCs w:val="18"/>
                <w:lang w:eastAsia="ru-RU"/>
              </w:rPr>
              <w:t>.</w:t>
            </w:r>
          </w:p>
        </w:tc>
      </w:tr>
      <w:tr w:rsidR="00EB10C3" w:rsidRPr="00EB10C3" w:rsidTr="00EB10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статья 10</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1. Размещение </w:t>
            </w:r>
            <w:hyperlink r:id="rId9" w:anchor="/document/12171992/entry/2006" w:history="1">
              <w:r w:rsidRPr="00EB10C3">
                <w:rPr>
                  <w:rFonts w:ascii="Tahoma" w:eastAsia="Times New Roman" w:hAnsi="Tahoma" w:cs="Tahoma"/>
                  <w:color w:val="33A6E3"/>
                  <w:kern w:val="0"/>
                  <w:sz w:val="18"/>
                  <w:lang w:eastAsia="ru-RU"/>
                </w:rPr>
                <w:t>нестационарных торговых объектов</w:t>
              </w:r>
            </w:hyperlink>
            <w:r w:rsidRPr="00EB10C3">
              <w:rPr>
                <w:rFonts w:ascii="Tahoma" w:eastAsia="Times New Roman" w:hAnsi="Tahoma" w:cs="Tahoma"/>
                <w:color w:val="000000"/>
                <w:kern w:val="0"/>
                <w:sz w:val="18"/>
                <w:szCs w:val="18"/>
                <w:lang w:eastAsia="ru-RU"/>
              </w:rPr>
              <w:t xml:space="preserve">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w:t>
            </w:r>
            <w:r w:rsidRPr="00EB10C3">
              <w:rPr>
                <w:rFonts w:ascii="Tahoma" w:eastAsia="Times New Roman" w:hAnsi="Tahoma" w:cs="Tahoma"/>
                <w:color w:val="000000"/>
                <w:kern w:val="0"/>
                <w:sz w:val="18"/>
                <w:szCs w:val="18"/>
                <w:lang w:eastAsia="ru-RU"/>
              </w:rPr>
              <w:lastRenderedPageBreak/>
              <w:t>минимальной обеспеченности населения площадью торговых объектов.</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2. </w:t>
            </w:r>
            <w:hyperlink r:id="rId10" w:anchor="/document/12179148/entry/1000" w:history="1">
              <w:r w:rsidRPr="00EB10C3">
                <w:rPr>
                  <w:rFonts w:ascii="Tahoma" w:eastAsia="Times New Roman" w:hAnsi="Tahoma" w:cs="Tahoma"/>
                  <w:color w:val="33A6E3"/>
                  <w:kern w:val="0"/>
                  <w:sz w:val="18"/>
                  <w:lang w:eastAsia="ru-RU"/>
                </w:rPr>
                <w:t>Порядок</w:t>
              </w:r>
            </w:hyperlink>
            <w:r w:rsidRPr="00EB10C3">
              <w:rPr>
                <w:rFonts w:ascii="Tahoma" w:eastAsia="Times New Roman" w:hAnsi="Tahoma" w:cs="Tahoma"/>
                <w:color w:val="000000"/>
                <w:kern w:val="0"/>
                <w:sz w:val="18"/>
                <w:szCs w:val="18"/>
                <w:lang w:eastAsia="ru-RU"/>
              </w:rPr>
              <w:t> включения в схему размещения, указанную в </w:t>
            </w:r>
            <w:hyperlink r:id="rId11" w:anchor="/document/12171992/entry/1001" w:history="1">
              <w:r w:rsidRPr="00EB10C3">
                <w:rPr>
                  <w:rFonts w:ascii="Tahoma" w:eastAsia="Times New Roman" w:hAnsi="Tahoma" w:cs="Tahoma"/>
                  <w:color w:val="33A6E3"/>
                  <w:kern w:val="0"/>
                  <w:sz w:val="18"/>
                  <w:lang w:eastAsia="ru-RU"/>
                </w:rPr>
                <w:t>части 1</w:t>
              </w:r>
            </w:hyperlink>
            <w:r w:rsidRPr="00EB10C3">
              <w:rPr>
                <w:rFonts w:ascii="Tahoma" w:eastAsia="Times New Roman" w:hAnsi="Tahoma" w:cs="Tahoma"/>
                <w:color w:val="000000"/>
                <w:kern w:val="0"/>
                <w:sz w:val="18"/>
                <w:szCs w:val="18"/>
                <w:lang w:eastAsia="ru-RU"/>
              </w:rPr>
              <w:t>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EB10C3" w:rsidRPr="00EB10C3" w:rsidRDefault="00EB10C3" w:rsidP="00EB10C3">
            <w:pPr>
              <w:spacing w:after="0"/>
              <w:jc w:val="both"/>
              <w:rPr>
                <w:rFonts w:ascii="Tahoma" w:eastAsia="Times New Roman" w:hAnsi="Tahoma" w:cs="Tahoma"/>
                <w:color w:val="000000"/>
                <w:kern w:val="0"/>
                <w:sz w:val="18"/>
                <w:szCs w:val="18"/>
                <w:lang w:eastAsia="ru-RU"/>
              </w:rPr>
            </w:pPr>
            <w:hyperlink r:id="rId12" w:anchor="/document/70197500/entry/344" w:history="1">
              <w:r w:rsidRPr="00EB10C3">
                <w:rPr>
                  <w:rFonts w:ascii="Tahoma" w:eastAsia="Times New Roman" w:hAnsi="Tahoma" w:cs="Tahoma"/>
                  <w:color w:val="33A6E3"/>
                  <w:kern w:val="0"/>
                  <w:sz w:val="18"/>
                  <w:lang w:eastAsia="ru-RU"/>
                </w:rPr>
                <w:t>3.</w:t>
              </w:r>
            </w:hyperlink>
            <w:r w:rsidRPr="00EB10C3">
              <w:rPr>
                <w:rFonts w:ascii="Tahoma" w:eastAsia="Times New Roman" w:hAnsi="Tahoma" w:cs="Tahoma"/>
                <w:color w:val="000000"/>
                <w:kern w:val="0"/>
                <w:sz w:val="18"/>
                <w:szCs w:val="18"/>
                <w:lang w:eastAsia="ru-RU"/>
              </w:rPr>
              <w:t> Схема размещения нестационарных </w:t>
            </w:r>
            <w:hyperlink r:id="rId13" w:anchor="/document/12171992/entry/2004" w:history="1">
              <w:r w:rsidRPr="00EB10C3">
                <w:rPr>
                  <w:rFonts w:ascii="Tahoma" w:eastAsia="Times New Roman" w:hAnsi="Tahoma" w:cs="Tahoma"/>
                  <w:color w:val="33A6E3"/>
                  <w:kern w:val="0"/>
                  <w:sz w:val="18"/>
                  <w:lang w:eastAsia="ru-RU"/>
                </w:rPr>
                <w:t>торговых объектов</w:t>
              </w:r>
            </w:hyperlink>
            <w:r w:rsidRPr="00EB10C3">
              <w:rPr>
                <w:rFonts w:ascii="Tahoma" w:eastAsia="Times New Roman" w:hAnsi="Tahoma" w:cs="Tahoma"/>
                <w:color w:val="000000"/>
                <w:kern w:val="0"/>
                <w:sz w:val="18"/>
                <w:szCs w:val="18"/>
                <w:lang w:eastAsia="ru-RU"/>
              </w:rPr>
              <w:t>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5. Схема размещения нестационарных торговых объектов и вносимые в нее изменения подлежат опубликованию в </w:t>
            </w:r>
            <w:r w:rsidRPr="00EB10C3">
              <w:rPr>
                <w:rFonts w:ascii="Tahoma" w:eastAsia="Times New Roman" w:hAnsi="Tahoma" w:cs="Tahoma"/>
                <w:color w:val="000000"/>
                <w:kern w:val="0"/>
                <w:sz w:val="18"/>
                <w:szCs w:val="18"/>
                <w:lang w:eastAsia="ru-RU"/>
              </w:rPr>
              <w:lastRenderedPageBreak/>
              <w:t>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7. Порядок размещения и использования нестационарных торговых объектов в </w:t>
            </w:r>
            <w:hyperlink r:id="rId14" w:anchor="/document/12171992/entry/2005" w:history="1">
              <w:r w:rsidRPr="00EB10C3">
                <w:rPr>
                  <w:rFonts w:ascii="Tahoma" w:eastAsia="Times New Roman" w:hAnsi="Tahoma" w:cs="Tahoma"/>
                  <w:color w:val="33A6E3"/>
                  <w:kern w:val="0"/>
                  <w:sz w:val="18"/>
                  <w:lang w:eastAsia="ru-RU"/>
                </w:rPr>
                <w:t>стационарном торговом объекте</w:t>
              </w:r>
            </w:hyperlink>
            <w:r w:rsidRPr="00EB10C3">
              <w:rPr>
                <w:rFonts w:ascii="Tahoma" w:eastAsia="Times New Roman" w:hAnsi="Tahoma" w:cs="Tahoma"/>
                <w:color w:val="000000"/>
                <w:kern w:val="0"/>
                <w:sz w:val="18"/>
                <w:szCs w:val="18"/>
                <w:lang w:eastAsia="ru-RU"/>
              </w:rPr>
              <w:t>,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tc>
      </w:tr>
      <w:tr w:rsidR="00EB10C3" w:rsidRPr="00EB10C3" w:rsidTr="00EB10C3">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3</w:t>
            </w:r>
          </w:p>
        </w:tc>
        <w:tc>
          <w:tcPr>
            <w:tcW w:w="29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hyperlink r:id="rId15" w:history="1">
              <w:r w:rsidRPr="00EB10C3">
                <w:rPr>
                  <w:rFonts w:ascii="Tahoma" w:eastAsia="Times New Roman" w:hAnsi="Tahoma" w:cs="Tahoma"/>
                  <w:b/>
                  <w:bCs/>
                  <w:color w:val="33A6E3"/>
                  <w:kern w:val="36"/>
                  <w:sz w:val="48"/>
                  <w:szCs w:val="48"/>
                  <w:lang w:eastAsia="ru-RU"/>
                </w:rPr>
                <w:t xml:space="preserve">Федеральный закон </w:t>
              </w:r>
              <w:r w:rsidRPr="00EB10C3">
                <w:rPr>
                  <w:rFonts w:ascii="Tahoma" w:eastAsia="Times New Roman" w:hAnsi="Tahoma" w:cs="Tahoma"/>
                  <w:b/>
                  <w:bCs/>
                  <w:color w:val="33A6E3"/>
                  <w:kern w:val="36"/>
                  <w:sz w:val="48"/>
                  <w:szCs w:val="48"/>
                  <w:lang w:eastAsia="ru-RU"/>
                </w:rPr>
                <w:lastRenderedPageBreak/>
                <w:t>от 26 декабря 2008 г. № 294-ФЗ</w:t>
              </w:r>
              <w:r w:rsidRPr="00EB10C3">
                <w:rPr>
                  <w:rFonts w:ascii="Tahoma" w:eastAsia="Times New Roman" w:hAnsi="Tahoma" w:cs="Tahoma"/>
                  <w:b/>
                  <w:bCs/>
                  <w:color w:val="33A6E3"/>
                  <w:kern w:val="36"/>
                  <w:sz w:val="48"/>
                  <w:szCs w:val="48"/>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i/>
                <w:iCs/>
                <w:color w:val="000000"/>
                <w:kern w:val="36"/>
                <w:sz w:val="48"/>
                <w:szCs w:val="48"/>
                <w:lang w:eastAsia="ru-RU"/>
              </w:rPr>
              <w:t> </w:t>
            </w:r>
          </w:p>
        </w:tc>
        <w:tc>
          <w:tcPr>
            <w:tcW w:w="243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юридические лица,</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индивидуальные </w:t>
            </w:r>
            <w:r w:rsidRPr="00EB10C3">
              <w:rPr>
                <w:rFonts w:ascii="Tahoma" w:eastAsia="Times New Roman" w:hAnsi="Tahoma" w:cs="Tahoma"/>
                <w:color w:val="000000"/>
                <w:kern w:val="0"/>
                <w:sz w:val="18"/>
                <w:szCs w:val="18"/>
                <w:lang w:eastAsia="ru-RU"/>
              </w:rPr>
              <w:lastRenderedPageBreak/>
              <w:t>предприниматели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пункт 4 статьи 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Муниципальный контроль - деятельность органов местного самоуправления, </w:t>
            </w:r>
            <w:r w:rsidRPr="00EB10C3">
              <w:rPr>
                <w:rFonts w:ascii="Tahoma" w:eastAsia="Times New Roman" w:hAnsi="Tahoma" w:cs="Tahoma"/>
                <w:color w:val="000000"/>
                <w:kern w:val="0"/>
                <w:sz w:val="18"/>
                <w:szCs w:val="18"/>
                <w:lang w:eastAsia="ru-RU"/>
              </w:rPr>
              <w:lastRenderedPageBreak/>
              <w:t>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EB10C3" w:rsidRPr="00EB10C3" w:rsidTr="00EB10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статья 6</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1. Определение органов местного самоуправления, уполномоченных на осуществление муниципального контроля, установление их организационной </w:t>
            </w:r>
            <w:r w:rsidRPr="00EB10C3">
              <w:rPr>
                <w:rFonts w:ascii="Tahoma" w:eastAsia="Times New Roman" w:hAnsi="Tahoma" w:cs="Tahoma"/>
                <w:color w:val="000000"/>
                <w:kern w:val="0"/>
                <w:sz w:val="18"/>
                <w:szCs w:val="18"/>
                <w:lang w:eastAsia="ru-RU"/>
              </w:rPr>
              <w:lastRenderedPageBreak/>
              <w:t>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2. К полномочиям органов местного самоуправления, осуществляющих муниципальный контроль, относятся:</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w:t>
            </w:r>
            <w:r w:rsidRPr="00EB10C3">
              <w:rPr>
                <w:rFonts w:ascii="Tahoma" w:eastAsia="Times New Roman" w:hAnsi="Tahoma" w:cs="Tahoma"/>
                <w:color w:val="000000"/>
                <w:kern w:val="0"/>
                <w:sz w:val="18"/>
                <w:szCs w:val="18"/>
                <w:lang w:eastAsia="ru-RU"/>
              </w:rPr>
              <w:lastRenderedPageBreak/>
              <w:t>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3) организация и проведение мониторинга эффективности муниципального контроля в соответствующих сферах деятельности, показатели и </w:t>
            </w:r>
            <w:hyperlink r:id="rId16" w:history="1">
              <w:r w:rsidRPr="00EB10C3">
                <w:rPr>
                  <w:rFonts w:ascii="Tahoma" w:eastAsia="Times New Roman" w:hAnsi="Tahoma" w:cs="Tahoma"/>
                  <w:color w:val="33A6E3"/>
                  <w:kern w:val="0"/>
                  <w:sz w:val="18"/>
                  <w:lang w:eastAsia="ru-RU"/>
                </w:rPr>
                <w:t>методика</w:t>
              </w:r>
            </w:hyperlink>
            <w:r w:rsidRPr="00EB10C3">
              <w:rPr>
                <w:rFonts w:ascii="Tahoma" w:eastAsia="Times New Roman" w:hAnsi="Tahoma" w:cs="Tahoma"/>
                <w:color w:val="000000"/>
                <w:kern w:val="0"/>
                <w:sz w:val="18"/>
                <w:szCs w:val="18"/>
                <w:lang w:eastAsia="ru-RU"/>
              </w:rPr>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tc>
      </w:tr>
      <w:tr w:rsidR="00EB10C3" w:rsidRPr="00EB10C3" w:rsidTr="00EB10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часть 1 статьи 9</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Предметом плановой проверки является соблюдение юридическим лицом, индивидуальным предпринимателем в процессе </w:t>
            </w:r>
            <w:r w:rsidRPr="00EB10C3">
              <w:rPr>
                <w:rFonts w:ascii="Tahoma" w:eastAsia="Times New Roman" w:hAnsi="Tahoma" w:cs="Tahoma"/>
                <w:color w:val="000000"/>
                <w:kern w:val="0"/>
                <w:sz w:val="18"/>
                <w:szCs w:val="18"/>
                <w:lang w:eastAsia="ru-RU"/>
              </w:rPr>
              <w:lastRenderedPageBreak/>
              <w:t>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EB10C3" w:rsidRPr="00EB10C3" w:rsidTr="00EB10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часть 1 статьи 10</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EB10C3">
              <w:rPr>
                <w:rFonts w:ascii="Tahoma" w:eastAsia="Times New Roman" w:hAnsi="Tahoma" w:cs="Tahoma"/>
                <w:color w:val="000000"/>
                <w:kern w:val="0"/>
                <w:sz w:val="18"/>
                <w:szCs w:val="18"/>
                <w:lang w:eastAsia="ru-RU"/>
              </w:rPr>
              <w:lastRenderedPageBreak/>
              <w:t>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EB10C3" w:rsidRPr="00EB10C3" w:rsidTr="00EB10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часть 1 статьи 11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EB10C3" w:rsidRPr="00EB10C3" w:rsidTr="00EB10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B10C3" w:rsidRPr="00EB10C3" w:rsidRDefault="00EB10C3" w:rsidP="00EB10C3">
            <w:pPr>
              <w:spacing w:after="0"/>
              <w:rPr>
                <w:rFonts w:ascii="Tahoma" w:eastAsia="Times New Roman" w:hAnsi="Tahoma" w:cs="Tahoma"/>
                <w:color w:val="000000"/>
                <w:kern w:val="0"/>
                <w:sz w:val="18"/>
                <w:szCs w:val="18"/>
                <w:lang w:eastAsia="ru-RU"/>
              </w:rPr>
            </w:pP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часть 1 статьи 12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w:t>
            </w:r>
            <w:r w:rsidRPr="00EB10C3">
              <w:rPr>
                <w:rFonts w:ascii="Tahoma" w:eastAsia="Times New Roman" w:hAnsi="Tahoma" w:cs="Tahoma"/>
                <w:color w:val="000000"/>
                <w:kern w:val="0"/>
                <w:sz w:val="18"/>
                <w:szCs w:val="18"/>
                <w:lang w:eastAsia="ru-RU"/>
              </w:rPr>
              <w:lastRenderedPageBreak/>
              <w:t>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EB10C3" w:rsidRPr="00EB10C3" w:rsidTr="00EB10C3">
        <w:trPr>
          <w:tblCellSpacing w:w="0" w:type="dxa"/>
        </w:trPr>
        <w:tc>
          <w:tcPr>
            <w:tcW w:w="145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color w:val="000000"/>
                <w:kern w:val="36"/>
                <w:sz w:val="48"/>
                <w:szCs w:val="48"/>
                <w:lang w:eastAsia="ru-RU"/>
              </w:rPr>
              <w:lastRenderedPageBreak/>
              <w:t>Раздел III. Указы Президента Российской Федерации, постановления и распоряжения Правительства Российской Федерации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w:t>
            </w:r>
          </w:p>
        </w:tc>
      </w:tr>
      <w:tr w:rsidR="00EB10C3" w:rsidRPr="00EB10C3" w:rsidTr="00EB10C3">
        <w:trPr>
          <w:tblCellSpacing w:w="0" w:type="dxa"/>
        </w:trPr>
        <w:tc>
          <w:tcPr>
            <w:tcW w:w="145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outlineLvl w:val="0"/>
              <w:rPr>
                <w:rFonts w:ascii="Tahoma" w:eastAsia="Times New Roman" w:hAnsi="Tahoma" w:cs="Tahoma"/>
                <w:b/>
                <w:bCs/>
                <w:color w:val="000000"/>
                <w:kern w:val="36"/>
                <w:sz w:val="48"/>
                <w:szCs w:val="48"/>
                <w:lang w:eastAsia="ru-RU"/>
              </w:rPr>
            </w:pPr>
            <w:r w:rsidRPr="00EB10C3">
              <w:rPr>
                <w:rFonts w:ascii="Tahoma" w:eastAsia="Times New Roman" w:hAnsi="Tahoma" w:cs="Tahoma"/>
                <w:b/>
                <w:bCs/>
                <w:color w:val="000000"/>
                <w:kern w:val="36"/>
                <w:sz w:val="48"/>
                <w:szCs w:val="48"/>
                <w:lang w:eastAsia="ru-RU"/>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w:t>
            </w:r>
          </w:p>
        </w:tc>
      </w:tr>
      <w:tr w:rsidR="00EB10C3" w:rsidRPr="00EB10C3" w:rsidTr="00EB10C3">
        <w:trPr>
          <w:tblCellSpacing w:w="0" w:type="dxa"/>
        </w:trPr>
        <w:tc>
          <w:tcPr>
            <w:tcW w:w="145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Раздел V. Законы и иные нормативные правовые акты субъектов Российской Федерации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w:t>
            </w:r>
          </w:p>
        </w:tc>
      </w:tr>
      <w:tr w:rsidR="00EB10C3" w:rsidRPr="00EB10C3" w:rsidTr="00EB10C3">
        <w:trPr>
          <w:tblCellSpacing w:w="0" w:type="dxa"/>
        </w:trPr>
        <w:tc>
          <w:tcPr>
            <w:tcW w:w="145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Раздел VI. Иные нормативные документы</w:t>
            </w:r>
          </w:p>
        </w:tc>
      </w:tr>
      <w:tr w:rsidR="00EB10C3" w:rsidRPr="00EB10C3" w:rsidTr="00EB10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w:t>
            </w:r>
          </w:p>
        </w:tc>
        <w:tc>
          <w:tcPr>
            <w:tcW w:w="2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Наименование</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документа</w:t>
            </w:r>
          </w:p>
        </w:tc>
        <w:tc>
          <w:tcPr>
            <w:tcW w:w="24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Сведения об утверждении</w:t>
            </w: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xml:space="preserve">Краткое описание круга лиц и (или) перечня </w:t>
            </w:r>
            <w:r w:rsidRPr="00EB10C3">
              <w:rPr>
                <w:rFonts w:ascii="Tahoma" w:eastAsia="Times New Roman" w:hAnsi="Tahoma" w:cs="Tahoma"/>
                <w:color w:val="000000"/>
                <w:kern w:val="0"/>
                <w:sz w:val="18"/>
                <w:szCs w:val="18"/>
                <w:lang w:eastAsia="ru-RU"/>
              </w:rPr>
              <w:lastRenderedPageBreak/>
              <w:t>объектов,</w:t>
            </w:r>
            <w:r w:rsidRPr="00EB10C3">
              <w:rPr>
                <w:rFonts w:ascii="Tahoma" w:eastAsia="Times New Roman" w:hAnsi="Tahoma" w:cs="Tahoma"/>
                <w:color w:val="000000"/>
                <w:kern w:val="0"/>
                <w:sz w:val="18"/>
                <w:szCs w:val="18"/>
                <w:lang w:eastAsia="ru-RU"/>
              </w:rPr>
              <w:br/>
              <w:t>в отношении которых устанавливаются обязательные требования</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Текст акта</w:t>
            </w:r>
          </w:p>
        </w:tc>
      </w:tr>
      <w:tr w:rsidR="00EB10C3" w:rsidRPr="00EB10C3" w:rsidTr="00EB10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lastRenderedPageBreak/>
              <w:t>4</w:t>
            </w:r>
          </w:p>
        </w:tc>
        <w:tc>
          <w:tcPr>
            <w:tcW w:w="2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Викторовского сельсовета</w:t>
            </w:r>
          </w:p>
        </w:tc>
        <w:tc>
          <w:tcPr>
            <w:tcW w:w="24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юридические лица,</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индивидуальные предприниматели</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в полном объёме</w:t>
            </w:r>
          </w:p>
          <w:p w:rsidR="00EB10C3" w:rsidRPr="00EB10C3" w:rsidRDefault="00EB10C3" w:rsidP="00EB10C3">
            <w:pPr>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tc>
      </w:tr>
    </w:tbl>
    <w:p w:rsidR="00EB10C3" w:rsidRPr="00EB10C3" w:rsidRDefault="00EB10C3" w:rsidP="00EB10C3">
      <w:pPr>
        <w:shd w:val="clear" w:color="auto" w:fill="EEEEEE"/>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 </w:t>
      </w:r>
    </w:p>
    <w:p w:rsidR="00EB10C3" w:rsidRPr="00EB10C3" w:rsidRDefault="00EB10C3" w:rsidP="00EB10C3">
      <w:pPr>
        <w:shd w:val="clear" w:color="auto" w:fill="EEEEEE"/>
        <w:spacing w:after="0"/>
        <w:jc w:val="both"/>
        <w:rPr>
          <w:rFonts w:ascii="Tahoma" w:eastAsia="Times New Roman" w:hAnsi="Tahoma" w:cs="Tahoma"/>
          <w:color w:val="000000"/>
          <w:kern w:val="0"/>
          <w:sz w:val="18"/>
          <w:szCs w:val="18"/>
          <w:lang w:eastAsia="ru-RU"/>
        </w:rPr>
      </w:pPr>
      <w:r w:rsidRPr="00EB10C3">
        <w:rPr>
          <w:rFonts w:ascii="Tahoma" w:eastAsia="Times New Roman" w:hAnsi="Tahoma" w:cs="Tahoma"/>
          <w:color w:val="000000"/>
          <w:kern w:val="0"/>
          <w:sz w:val="18"/>
          <w:szCs w:val="18"/>
          <w:lang w:eastAsia="ru-RU"/>
        </w:rPr>
        <w:t>____________</w:t>
      </w:r>
    </w:p>
    <w:p w:rsidR="00F12C76" w:rsidRPr="00EB10C3" w:rsidRDefault="00F12C76" w:rsidP="00EB10C3"/>
    <w:sectPr w:rsidR="00F12C76" w:rsidRPr="00EB10C3"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35F7"/>
    <w:rsid w:val="000059FF"/>
    <w:rsid w:val="0006282B"/>
    <w:rsid w:val="00075BCB"/>
    <w:rsid w:val="000765C8"/>
    <w:rsid w:val="00091FF5"/>
    <w:rsid w:val="000E3EA6"/>
    <w:rsid w:val="00146B99"/>
    <w:rsid w:val="00155BD2"/>
    <w:rsid w:val="001D6C65"/>
    <w:rsid w:val="00242F9C"/>
    <w:rsid w:val="002827BC"/>
    <w:rsid w:val="0028378A"/>
    <w:rsid w:val="002E4130"/>
    <w:rsid w:val="00303CE6"/>
    <w:rsid w:val="00321543"/>
    <w:rsid w:val="0032473E"/>
    <w:rsid w:val="00324793"/>
    <w:rsid w:val="00324B4B"/>
    <w:rsid w:val="003423AB"/>
    <w:rsid w:val="003714FC"/>
    <w:rsid w:val="00377E0C"/>
    <w:rsid w:val="0039154A"/>
    <w:rsid w:val="003D38E3"/>
    <w:rsid w:val="00410750"/>
    <w:rsid w:val="004123FA"/>
    <w:rsid w:val="00424E1C"/>
    <w:rsid w:val="0045426F"/>
    <w:rsid w:val="00457C6B"/>
    <w:rsid w:val="00462E2E"/>
    <w:rsid w:val="0046520A"/>
    <w:rsid w:val="00473360"/>
    <w:rsid w:val="00485033"/>
    <w:rsid w:val="004A23E2"/>
    <w:rsid w:val="004C6E06"/>
    <w:rsid w:val="004E423F"/>
    <w:rsid w:val="0052623E"/>
    <w:rsid w:val="005559D5"/>
    <w:rsid w:val="00573F42"/>
    <w:rsid w:val="00574793"/>
    <w:rsid w:val="00581BD7"/>
    <w:rsid w:val="005848BC"/>
    <w:rsid w:val="005A4FE3"/>
    <w:rsid w:val="00664529"/>
    <w:rsid w:val="006830BE"/>
    <w:rsid w:val="0069268C"/>
    <w:rsid w:val="006C0B77"/>
    <w:rsid w:val="006C5383"/>
    <w:rsid w:val="006E567B"/>
    <w:rsid w:val="00703674"/>
    <w:rsid w:val="00721C91"/>
    <w:rsid w:val="0082156D"/>
    <w:rsid w:val="008229C0"/>
    <w:rsid w:val="008242FF"/>
    <w:rsid w:val="00870751"/>
    <w:rsid w:val="00892FD5"/>
    <w:rsid w:val="008D7317"/>
    <w:rsid w:val="008F385E"/>
    <w:rsid w:val="00922C48"/>
    <w:rsid w:val="00960175"/>
    <w:rsid w:val="0097292A"/>
    <w:rsid w:val="00973EBD"/>
    <w:rsid w:val="0098439B"/>
    <w:rsid w:val="009D2722"/>
    <w:rsid w:val="00AE73DB"/>
    <w:rsid w:val="00B00F63"/>
    <w:rsid w:val="00B350CB"/>
    <w:rsid w:val="00B71B17"/>
    <w:rsid w:val="00B905F0"/>
    <w:rsid w:val="00B915B7"/>
    <w:rsid w:val="00BA39C3"/>
    <w:rsid w:val="00BB1057"/>
    <w:rsid w:val="00BE5F54"/>
    <w:rsid w:val="00BF4A25"/>
    <w:rsid w:val="00C36F25"/>
    <w:rsid w:val="00C420CC"/>
    <w:rsid w:val="00C55D86"/>
    <w:rsid w:val="00CA490C"/>
    <w:rsid w:val="00CF556E"/>
    <w:rsid w:val="00CF62D2"/>
    <w:rsid w:val="00D23387"/>
    <w:rsid w:val="00D513AD"/>
    <w:rsid w:val="00D8210E"/>
    <w:rsid w:val="00D91D27"/>
    <w:rsid w:val="00DD31B0"/>
    <w:rsid w:val="00DE60E3"/>
    <w:rsid w:val="00DE65EA"/>
    <w:rsid w:val="00E03DC9"/>
    <w:rsid w:val="00E0558D"/>
    <w:rsid w:val="00E16CB6"/>
    <w:rsid w:val="00E47043"/>
    <w:rsid w:val="00E555A1"/>
    <w:rsid w:val="00EA5129"/>
    <w:rsid w:val="00EA59DF"/>
    <w:rsid w:val="00EB10C3"/>
    <w:rsid w:val="00EC2447"/>
    <w:rsid w:val="00ED2069"/>
    <w:rsid w:val="00EE09B8"/>
    <w:rsid w:val="00EE4070"/>
    <w:rsid w:val="00F12C76"/>
    <w:rsid w:val="00F503D2"/>
    <w:rsid w:val="00F832F7"/>
    <w:rsid w:val="00FB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E423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2473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2623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 w:type="character" w:customStyle="1" w:styleId="10">
    <w:name w:val="Заголовок 1 Знак"/>
    <w:basedOn w:val="a0"/>
    <w:link w:val="1"/>
    <w:uiPriority w:val="9"/>
    <w:rsid w:val="004E42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73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52623E"/>
    <w:rPr>
      <w:rFonts w:asciiTheme="majorHAnsi" w:eastAsiaTheme="majorEastAsia" w:hAnsiTheme="majorHAnsi" w:cstheme="majorBidi"/>
      <w:b/>
      <w:bCs/>
      <w:color w:val="4472C4" w:themeColor="accent1"/>
      <w:sz w:val="28"/>
    </w:rPr>
  </w:style>
  <w:style w:type="paragraph" w:styleId="a8">
    <w:name w:val="Balloon Text"/>
    <w:basedOn w:val="a"/>
    <w:link w:val="a9"/>
    <w:uiPriority w:val="99"/>
    <w:semiHidden/>
    <w:unhideWhenUsed/>
    <w:rsid w:val="0052623E"/>
    <w:pPr>
      <w:spacing w:after="0"/>
    </w:pPr>
    <w:rPr>
      <w:rFonts w:ascii="Tahoma" w:hAnsi="Tahoma" w:cs="Tahoma"/>
      <w:sz w:val="16"/>
      <w:szCs w:val="16"/>
    </w:rPr>
  </w:style>
  <w:style w:type="character" w:customStyle="1" w:styleId="a9">
    <w:name w:val="Текст выноски Знак"/>
    <w:basedOn w:val="a0"/>
    <w:link w:val="a8"/>
    <w:uiPriority w:val="99"/>
    <w:semiHidden/>
    <w:rsid w:val="00526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83652">
      <w:bodyDiv w:val="1"/>
      <w:marLeft w:val="0"/>
      <w:marRight w:val="0"/>
      <w:marTop w:val="0"/>
      <w:marBottom w:val="0"/>
      <w:divBdr>
        <w:top w:val="none" w:sz="0" w:space="0" w:color="auto"/>
        <w:left w:val="none" w:sz="0" w:space="0" w:color="auto"/>
        <w:bottom w:val="none" w:sz="0" w:space="0" w:color="auto"/>
        <w:right w:val="none" w:sz="0" w:space="0" w:color="auto"/>
      </w:divBdr>
    </w:div>
    <w:div w:id="64492271">
      <w:bodyDiv w:val="1"/>
      <w:marLeft w:val="0"/>
      <w:marRight w:val="0"/>
      <w:marTop w:val="0"/>
      <w:marBottom w:val="0"/>
      <w:divBdr>
        <w:top w:val="none" w:sz="0" w:space="0" w:color="auto"/>
        <w:left w:val="none" w:sz="0" w:space="0" w:color="auto"/>
        <w:bottom w:val="none" w:sz="0" w:space="0" w:color="auto"/>
        <w:right w:val="none" w:sz="0" w:space="0" w:color="auto"/>
      </w:divBdr>
    </w:div>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6047722">
      <w:bodyDiv w:val="1"/>
      <w:marLeft w:val="0"/>
      <w:marRight w:val="0"/>
      <w:marTop w:val="0"/>
      <w:marBottom w:val="0"/>
      <w:divBdr>
        <w:top w:val="none" w:sz="0" w:space="0" w:color="auto"/>
        <w:left w:val="none" w:sz="0" w:space="0" w:color="auto"/>
        <w:bottom w:val="none" w:sz="0" w:space="0" w:color="auto"/>
        <w:right w:val="none" w:sz="0" w:space="0" w:color="auto"/>
      </w:divBdr>
    </w:div>
    <w:div w:id="137646442">
      <w:bodyDiv w:val="1"/>
      <w:marLeft w:val="0"/>
      <w:marRight w:val="0"/>
      <w:marTop w:val="0"/>
      <w:marBottom w:val="0"/>
      <w:divBdr>
        <w:top w:val="none" w:sz="0" w:space="0" w:color="auto"/>
        <w:left w:val="none" w:sz="0" w:space="0" w:color="auto"/>
        <w:bottom w:val="none" w:sz="0" w:space="0" w:color="auto"/>
        <w:right w:val="none" w:sz="0" w:space="0" w:color="auto"/>
      </w:divBdr>
    </w:div>
    <w:div w:id="137889962">
      <w:bodyDiv w:val="1"/>
      <w:marLeft w:val="0"/>
      <w:marRight w:val="0"/>
      <w:marTop w:val="0"/>
      <w:marBottom w:val="0"/>
      <w:divBdr>
        <w:top w:val="none" w:sz="0" w:space="0" w:color="auto"/>
        <w:left w:val="none" w:sz="0" w:space="0" w:color="auto"/>
        <w:bottom w:val="none" w:sz="0" w:space="0" w:color="auto"/>
        <w:right w:val="none" w:sz="0" w:space="0" w:color="auto"/>
      </w:divBdr>
    </w:div>
    <w:div w:id="15206235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171574314">
      <w:bodyDiv w:val="1"/>
      <w:marLeft w:val="0"/>
      <w:marRight w:val="0"/>
      <w:marTop w:val="0"/>
      <w:marBottom w:val="0"/>
      <w:divBdr>
        <w:top w:val="none" w:sz="0" w:space="0" w:color="auto"/>
        <w:left w:val="none" w:sz="0" w:space="0" w:color="auto"/>
        <w:bottom w:val="none" w:sz="0" w:space="0" w:color="auto"/>
        <w:right w:val="none" w:sz="0" w:space="0" w:color="auto"/>
      </w:divBdr>
    </w:div>
    <w:div w:id="175390291">
      <w:bodyDiv w:val="1"/>
      <w:marLeft w:val="0"/>
      <w:marRight w:val="0"/>
      <w:marTop w:val="0"/>
      <w:marBottom w:val="0"/>
      <w:divBdr>
        <w:top w:val="none" w:sz="0" w:space="0" w:color="auto"/>
        <w:left w:val="none" w:sz="0" w:space="0" w:color="auto"/>
        <w:bottom w:val="none" w:sz="0" w:space="0" w:color="auto"/>
        <w:right w:val="none" w:sz="0" w:space="0" w:color="auto"/>
      </w:divBdr>
    </w:div>
    <w:div w:id="180435534">
      <w:bodyDiv w:val="1"/>
      <w:marLeft w:val="0"/>
      <w:marRight w:val="0"/>
      <w:marTop w:val="0"/>
      <w:marBottom w:val="0"/>
      <w:divBdr>
        <w:top w:val="none" w:sz="0" w:space="0" w:color="auto"/>
        <w:left w:val="none" w:sz="0" w:space="0" w:color="auto"/>
        <w:bottom w:val="none" w:sz="0" w:space="0" w:color="auto"/>
        <w:right w:val="none" w:sz="0" w:space="0" w:color="auto"/>
      </w:divBdr>
    </w:div>
    <w:div w:id="208539901">
      <w:bodyDiv w:val="1"/>
      <w:marLeft w:val="0"/>
      <w:marRight w:val="0"/>
      <w:marTop w:val="0"/>
      <w:marBottom w:val="0"/>
      <w:divBdr>
        <w:top w:val="none" w:sz="0" w:space="0" w:color="auto"/>
        <w:left w:val="none" w:sz="0" w:space="0" w:color="auto"/>
        <w:bottom w:val="none" w:sz="0" w:space="0" w:color="auto"/>
        <w:right w:val="none" w:sz="0" w:space="0" w:color="auto"/>
      </w:divBdr>
      <w:divsChild>
        <w:div w:id="1834373473">
          <w:marLeft w:val="0"/>
          <w:marRight w:val="0"/>
          <w:marTop w:val="0"/>
          <w:marBottom w:val="225"/>
          <w:divBdr>
            <w:top w:val="none" w:sz="0" w:space="0" w:color="auto"/>
            <w:left w:val="none" w:sz="0" w:space="0" w:color="auto"/>
            <w:bottom w:val="none" w:sz="0" w:space="0" w:color="auto"/>
            <w:right w:val="none" w:sz="0" w:space="0" w:color="auto"/>
          </w:divBdr>
        </w:div>
      </w:divsChild>
    </w:div>
    <w:div w:id="232737280">
      <w:bodyDiv w:val="1"/>
      <w:marLeft w:val="0"/>
      <w:marRight w:val="0"/>
      <w:marTop w:val="0"/>
      <w:marBottom w:val="0"/>
      <w:divBdr>
        <w:top w:val="none" w:sz="0" w:space="0" w:color="auto"/>
        <w:left w:val="none" w:sz="0" w:space="0" w:color="auto"/>
        <w:bottom w:val="none" w:sz="0" w:space="0" w:color="auto"/>
        <w:right w:val="none" w:sz="0" w:space="0" w:color="auto"/>
      </w:divBdr>
    </w:div>
    <w:div w:id="237833143">
      <w:bodyDiv w:val="1"/>
      <w:marLeft w:val="0"/>
      <w:marRight w:val="0"/>
      <w:marTop w:val="0"/>
      <w:marBottom w:val="0"/>
      <w:divBdr>
        <w:top w:val="none" w:sz="0" w:space="0" w:color="auto"/>
        <w:left w:val="none" w:sz="0" w:space="0" w:color="auto"/>
        <w:bottom w:val="none" w:sz="0" w:space="0" w:color="auto"/>
        <w:right w:val="none" w:sz="0" w:space="0" w:color="auto"/>
      </w:divBdr>
    </w:div>
    <w:div w:id="252787918">
      <w:bodyDiv w:val="1"/>
      <w:marLeft w:val="0"/>
      <w:marRight w:val="0"/>
      <w:marTop w:val="0"/>
      <w:marBottom w:val="0"/>
      <w:divBdr>
        <w:top w:val="none" w:sz="0" w:space="0" w:color="auto"/>
        <w:left w:val="none" w:sz="0" w:space="0" w:color="auto"/>
        <w:bottom w:val="none" w:sz="0" w:space="0" w:color="auto"/>
        <w:right w:val="none" w:sz="0" w:space="0" w:color="auto"/>
      </w:divBdr>
      <w:divsChild>
        <w:div w:id="711808617">
          <w:marLeft w:val="0"/>
          <w:marRight w:val="0"/>
          <w:marTop w:val="0"/>
          <w:marBottom w:val="225"/>
          <w:divBdr>
            <w:top w:val="none" w:sz="0" w:space="0" w:color="auto"/>
            <w:left w:val="none" w:sz="0" w:space="0" w:color="auto"/>
            <w:bottom w:val="none" w:sz="0" w:space="0" w:color="auto"/>
            <w:right w:val="none" w:sz="0" w:space="0" w:color="auto"/>
          </w:divBdr>
        </w:div>
      </w:divsChild>
    </w:div>
    <w:div w:id="269708959">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972">
      <w:bodyDiv w:val="1"/>
      <w:marLeft w:val="0"/>
      <w:marRight w:val="0"/>
      <w:marTop w:val="0"/>
      <w:marBottom w:val="0"/>
      <w:divBdr>
        <w:top w:val="none" w:sz="0" w:space="0" w:color="auto"/>
        <w:left w:val="none" w:sz="0" w:space="0" w:color="auto"/>
        <w:bottom w:val="none" w:sz="0" w:space="0" w:color="auto"/>
        <w:right w:val="none" w:sz="0" w:space="0" w:color="auto"/>
      </w:divBdr>
    </w:div>
    <w:div w:id="304167612">
      <w:bodyDiv w:val="1"/>
      <w:marLeft w:val="0"/>
      <w:marRight w:val="0"/>
      <w:marTop w:val="0"/>
      <w:marBottom w:val="0"/>
      <w:divBdr>
        <w:top w:val="none" w:sz="0" w:space="0" w:color="auto"/>
        <w:left w:val="none" w:sz="0" w:space="0" w:color="auto"/>
        <w:bottom w:val="none" w:sz="0" w:space="0" w:color="auto"/>
        <w:right w:val="none" w:sz="0" w:space="0" w:color="auto"/>
      </w:divBdr>
    </w:div>
    <w:div w:id="313687089">
      <w:bodyDiv w:val="1"/>
      <w:marLeft w:val="0"/>
      <w:marRight w:val="0"/>
      <w:marTop w:val="0"/>
      <w:marBottom w:val="0"/>
      <w:divBdr>
        <w:top w:val="none" w:sz="0" w:space="0" w:color="auto"/>
        <w:left w:val="none" w:sz="0" w:space="0" w:color="auto"/>
        <w:bottom w:val="none" w:sz="0" w:space="0" w:color="auto"/>
        <w:right w:val="none" w:sz="0" w:space="0" w:color="auto"/>
      </w:divBdr>
    </w:div>
    <w:div w:id="329678617">
      <w:bodyDiv w:val="1"/>
      <w:marLeft w:val="0"/>
      <w:marRight w:val="0"/>
      <w:marTop w:val="0"/>
      <w:marBottom w:val="0"/>
      <w:divBdr>
        <w:top w:val="none" w:sz="0" w:space="0" w:color="auto"/>
        <w:left w:val="none" w:sz="0" w:space="0" w:color="auto"/>
        <w:bottom w:val="none" w:sz="0" w:space="0" w:color="auto"/>
        <w:right w:val="none" w:sz="0" w:space="0" w:color="auto"/>
      </w:divBdr>
    </w:div>
    <w:div w:id="337538457">
      <w:bodyDiv w:val="1"/>
      <w:marLeft w:val="0"/>
      <w:marRight w:val="0"/>
      <w:marTop w:val="0"/>
      <w:marBottom w:val="0"/>
      <w:divBdr>
        <w:top w:val="none" w:sz="0" w:space="0" w:color="auto"/>
        <w:left w:val="none" w:sz="0" w:space="0" w:color="auto"/>
        <w:bottom w:val="none" w:sz="0" w:space="0" w:color="auto"/>
        <w:right w:val="none" w:sz="0" w:space="0" w:color="auto"/>
      </w:divBdr>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365721382">
      <w:bodyDiv w:val="1"/>
      <w:marLeft w:val="0"/>
      <w:marRight w:val="0"/>
      <w:marTop w:val="0"/>
      <w:marBottom w:val="0"/>
      <w:divBdr>
        <w:top w:val="none" w:sz="0" w:space="0" w:color="auto"/>
        <w:left w:val="none" w:sz="0" w:space="0" w:color="auto"/>
        <w:bottom w:val="none" w:sz="0" w:space="0" w:color="auto"/>
        <w:right w:val="none" w:sz="0" w:space="0" w:color="auto"/>
      </w:divBdr>
    </w:div>
    <w:div w:id="38275277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408160721">
      <w:bodyDiv w:val="1"/>
      <w:marLeft w:val="0"/>
      <w:marRight w:val="0"/>
      <w:marTop w:val="0"/>
      <w:marBottom w:val="0"/>
      <w:divBdr>
        <w:top w:val="none" w:sz="0" w:space="0" w:color="auto"/>
        <w:left w:val="none" w:sz="0" w:space="0" w:color="auto"/>
        <w:bottom w:val="none" w:sz="0" w:space="0" w:color="auto"/>
        <w:right w:val="none" w:sz="0" w:space="0" w:color="auto"/>
      </w:divBdr>
    </w:div>
    <w:div w:id="518666934">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56498518">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675766336">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40058434">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795291661">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83133429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85730344">
          <w:marLeft w:val="0"/>
          <w:marRight w:val="0"/>
          <w:marTop w:val="0"/>
          <w:marBottom w:val="225"/>
          <w:divBdr>
            <w:top w:val="none" w:sz="0" w:space="0" w:color="auto"/>
            <w:left w:val="none" w:sz="0" w:space="0" w:color="auto"/>
            <w:bottom w:val="none" w:sz="0" w:space="0" w:color="auto"/>
            <w:right w:val="none" w:sz="0" w:space="0" w:color="auto"/>
          </w:divBdr>
        </w:div>
      </w:divsChild>
    </w:div>
    <w:div w:id="871307524">
      <w:bodyDiv w:val="1"/>
      <w:marLeft w:val="0"/>
      <w:marRight w:val="0"/>
      <w:marTop w:val="0"/>
      <w:marBottom w:val="0"/>
      <w:divBdr>
        <w:top w:val="none" w:sz="0" w:space="0" w:color="auto"/>
        <w:left w:val="none" w:sz="0" w:space="0" w:color="auto"/>
        <w:bottom w:val="none" w:sz="0" w:space="0" w:color="auto"/>
        <w:right w:val="none" w:sz="0" w:space="0" w:color="auto"/>
      </w:divBdr>
    </w:div>
    <w:div w:id="904412324">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981085257">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39283275">
      <w:bodyDiv w:val="1"/>
      <w:marLeft w:val="0"/>
      <w:marRight w:val="0"/>
      <w:marTop w:val="0"/>
      <w:marBottom w:val="0"/>
      <w:divBdr>
        <w:top w:val="none" w:sz="0" w:space="0" w:color="auto"/>
        <w:left w:val="none" w:sz="0" w:space="0" w:color="auto"/>
        <w:bottom w:val="none" w:sz="0" w:space="0" w:color="auto"/>
        <w:right w:val="none" w:sz="0" w:space="0" w:color="auto"/>
      </w:divBdr>
    </w:div>
    <w:div w:id="1043822348">
      <w:bodyDiv w:val="1"/>
      <w:marLeft w:val="0"/>
      <w:marRight w:val="0"/>
      <w:marTop w:val="0"/>
      <w:marBottom w:val="0"/>
      <w:divBdr>
        <w:top w:val="none" w:sz="0" w:space="0" w:color="auto"/>
        <w:left w:val="none" w:sz="0" w:space="0" w:color="auto"/>
        <w:bottom w:val="none" w:sz="0" w:space="0" w:color="auto"/>
        <w:right w:val="none" w:sz="0" w:space="0" w:color="auto"/>
      </w:divBdr>
    </w:div>
    <w:div w:id="1050685321">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070932590">
      <w:bodyDiv w:val="1"/>
      <w:marLeft w:val="0"/>
      <w:marRight w:val="0"/>
      <w:marTop w:val="0"/>
      <w:marBottom w:val="0"/>
      <w:divBdr>
        <w:top w:val="none" w:sz="0" w:space="0" w:color="auto"/>
        <w:left w:val="none" w:sz="0" w:space="0" w:color="auto"/>
        <w:bottom w:val="none" w:sz="0" w:space="0" w:color="auto"/>
        <w:right w:val="none" w:sz="0" w:space="0" w:color="auto"/>
      </w:divBdr>
    </w:div>
    <w:div w:id="1170290369">
      <w:bodyDiv w:val="1"/>
      <w:marLeft w:val="0"/>
      <w:marRight w:val="0"/>
      <w:marTop w:val="0"/>
      <w:marBottom w:val="0"/>
      <w:divBdr>
        <w:top w:val="none" w:sz="0" w:space="0" w:color="auto"/>
        <w:left w:val="none" w:sz="0" w:space="0" w:color="auto"/>
        <w:bottom w:val="none" w:sz="0" w:space="0" w:color="auto"/>
        <w:right w:val="none" w:sz="0" w:space="0" w:color="auto"/>
      </w:divBdr>
    </w:div>
    <w:div w:id="1173567452">
      <w:bodyDiv w:val="1"/>
      <w:marLeft w:val="0"/>
      <w:marRight w:val="0"/>
      <w:marTop w:val="0"/>
      <w:marBottom w:val="0"/>
      <w:divBdr>
        <w:top w:val="none" w:sz="0" w:space="0" w:color="auto"/>
        <w:left w:val="none" w:sz="0" w:space="0" w:color="auto"/>
        <w:bottom w:val="none" w:sz="0" w:space="0" w:color="auto"/>
        <w:right w:val="none" w:sz="0" w:space="0" w:color="auto"/>
      </w:divBdr>
      <w:divsChild>
        <w:div w:id="1709337125">
          <w:marLeft w:val="0"/>
          <w:marRight w:val="0"/>
          <w:marTop w:val="0"/>
          <w:marBottom w:val="225"/>
          <w:divBdr>
            <w:top w:val="none" w:sz="0" w:space="0" w:color="auto"/>
            <w:left w:val="none" w:sz="0" w:space="0" w:color="auto"/>
            <w:bottom w:val="none" w:sz="0" w:space="0" w:color="auto"/>
            <w:right w:val="none" w:sz="0" w:space="0" w:color="auto"/>
          </w:divBdr>
        </w:div>
      </w:divsChild>
    </w:div>
    <w:div w:id="1175732209">
      <w:bodyDiv w:val="1"/>
      <w:marLeft w:val="0"/>
      <w:marRight w:val="0"/>
      <w:marTop w:val="0"/>
      <w:marBottom w:val="0"/>
      <w:divBdr>
        <w:top w:val="none" w:sz="0" w:space="0" w:color="auto"/>
        <w:left w:val="none" w:sz="0" w:space="0" w:color="auto"/>
        <w:bottom w:val="none" w:sz="0" w:space="0" w:color="auto"/>
        <w:right w:val="none" w:sz="0" w:space="0" w:color="auto"/>
      </w:divBdr>
    </w:div>
    <w:div w:id="1230070209">
      <w:bodyDiv w:val="1"/>
      <w:marLeft w:val="0"/>
      <w:marRight w:val="0"/>
      <w:marTop w:val="0"/>
      <w:marBottom w:val="0"/>
      <w:divBdr>
        <w:top w:val="none" w:sz="0" w:space="0" w:color="auto"/>
        <w:left w:val="none" w:sz="0" w:space="0" w:color="auto"/>
        <w:bottom w:val="none" w:sz="0" w:space="0" w:color="auto"/>
        <w:right w:val="none" w:sz="0" w:space="0" w:color="auto"/>
      </w:divBdr>
    </w:div>
    <w:div w:id="1243759201">
      <w:bodyDiv w:val="1"/>
      <w:marLeft w:val="0"/>
      <w:marRight w:val="0"/>
      <w:marTop w:val="0"/>
      <w:marBottom w:val="0"/>
      <w:divBdr>
        <w:top w:val="none" w:sz="0" w:space="0" w:color="auto"/>
        <w:left w:val="none" w:sz="0" w:space="0" w:color="auto"/>
        <w:bottom w:val="none" w:sz="0" w:space="0" w:color="auto"/>
        <w:right w:val="none" w:sz="0" w:space="0" w:color="auto"/>
      </w:divBdr>
    </w:div>
    <w:div w:id="1250116665">
      <w:bodyDiv w:val="1"/>
      <w:marLeft w:val="0"/>
      <w:marRight w:val="0"/>
      <w:marTop w:val="0"/>
      <w:marBottom w:val="0"/>
      <w:divBdr>
        <w:top w:val="none" w:sz="0" w:space="0" w:color="auto"/>
        <w:left w:val="none" w:sz="0" w:space="0" w:color="auto"/>
        <w:bottom w:val="none" w:sz="0" w:space="0" w:color="auto"/>
        <w:right w:val="none" w:sz="0" w:space="0" w:color="auto"/>
      </w:divBdr>
    </w:div>
    <w:div w:id="1253392032">
      <w:bodyDiv w:val="1"/>
      <w:marLeft w:val="0"/>
      <w:marRight w:val="0"/>
      <w:marTop w:val="0"/>
      <w:marBottom w:val="0"/>
      <w:divBdr>
        <w:top w:val="none" w:sz="0" w:space="0" w:color="auto"/>
        <w:left w:val="none" w:sz="0" w:space="0" w:color="auto"/>
        <w:bottom w:val="none" w:sz="0" w:space="0" w:color="auto"/>
        <w:right w:val="none" w:sz="0" w:space="0" w:color="auto"/>
      </w:divBdr>
    </w:div>
    <w:div w:id="1330521056">
      <w:bodyDiv w:val="1"/>
      <w:marLeft w:val="0"/>
      <w:marRight w:val="0"/>
      <w:marTop w:val="0"/>
      <w:marBottom w:val="0"/>
      <w:divBdr>
        <w:top w:val="none" w:sz="0" w:space="0" w:color="auto"/>
        <w:left w:val="none" w:sz="0" w:space="0" w:color="auto"/>
        <w:bottom w:val="none" w:sz="0" w:space="0" w:color="auto"/>
        <w:right w:val="none" w:sz="0" w:space="0" w:color="auto"/>
      </w:divBdr>
    </w:div>
    <w:div w:id="1385640288">
      <w:bodyDiv w:val="1"/>
      <w:marLeft w:val="0"/>
      <w:marRight w:val="0"/>
      <w:marTop w:val="0"/>
      <w:marBottom w:val="0"/>
      <w:divBdr>
        <w:top w:val="none" w:sz="0" w:space="0" w:color="auto"/>
        <w:left w:val="none" w:sz="0" w:space="0" w:color="auto"/>
        <w:bottom w:val="none" w:sz="0" w:space="0" w:color="auto"/>
        <w:right w:val="none" w:sz="0" w:space="0" w:color="auto"/>
      </w:divBdr>
    </w:div>
    <w:div w:id="1415010237">
      <w:bodyDiv w:val="1"/>
      <w:marLeft w:val="0"/>
      <w:marRight w:val="0"/>
      <w:marTop w:val="0"/>
      <w:marBottom w:val="0"/>
      <w:divBdr>
        <w:top w:val="none" w:sz="0" w:space="0" w:color="auto"/>
        <w:left w:val="none" w:sz="0" w:space="0" w:color="auto"/>
        <w:bottom w:val="none" w:sz="0" w:space="0" w:color="auto"/>
        <w:right w:val="none" w:sz="0" w:space="0" w:color="auto"/>
      </w:divBdr>
    </w:div>
    <w:div w:id="1474443489">
      <w:bodyDiv w:val="1"/>
      <w:marLeft w:val="0"/>
      <w:marRight w:val="0"/>
      <w:marTop w:val="0"/>
      <w:marBottom w:val="0"/>
      <w:divBdr>
        <w:top w:val="none" w:sz="0" w:space="0" w:color="auto"/>
        <w:left w:val="none" w:sz="0" w:space="0" w:color="auto"/>
        <w:bottom w:val="none" w:sz="0" w:space="0" w:color="auto"/>
        <w:right w:val="none" w:sz="0" w:space="0" w:color="auto"/>
      </w:divBdr>
    </w:div>
    <w:div w:id="1555235099">
      <w:bodyDiv w:val="1"/>
      <w:marLeft w:val="0"/>
      <w:marRight w:val="0"/>
      <w:marTop w:val="0"/>
      <w:marBottom w:val="0"/>
      <w:divBdr>
        <w:top w:val="none" w:sz="0" w:space="0" w:color="auto"/>
        <w:left w:val="none" w:sz="0" w:space="0" w:color="auto"/>
        <w:bottom w:val="none" w:sz="0" w:space="0" w:color="auto"/>
        <w:right w:val="none" w:sz="0" w:space="0" w:color="auto"/>
      </w:divBdr>
    </w:div>
    <w:div w:id="1602570900">
      <w:bodyDiv w:val="1"/>
      <w:marLeft w:val="0"/>
      <w:marRight w:val="0"/>
      <w:marTop w:val="0"/>
      <w:marBottom w:val="0"/>
      <w:divBdr>
        <w:top w:val="none" w:sz="0" w:space="0" w:color="auto"/>
        <w:left w:val="none" w:sz="0" w:space="0" w:color="auto"/>
        <w:bottom w:val="none" w:sz="0" w:space="0" w:color="auto"/>
        <w:right w:val="none" w:sz="0" w:space="0" w:color="auto"/>
      </w:divBdr>
    </w:div>
    <w:div w:id="1629822323">
      <w:bodyDiv w:val="1"/>
      <w:marLeft w:val="0"/>
      <w:marRight w:val="0"/>
      <w:marTop w:val="0"/>
      <w:marBottom w:val="0"/>
      <w:divBdr>
        <w:top w:val="none" w:sz="0" w:space="0" w:color="auto"/>
        <w:left w:val="none" w:sz="0" w:space="0" w:color="auto"/>
        <w:bottom w:val="none" w:sz="0" w:space="0" w:color="auto"/>
        <w:right w:val="none" w:sz="0" w:space="0" w:color="auto"/>
      </w:divBdr>
    </w:div>
    <w:div w:id="1667511051">
      <w:bodyDiv w:val="1"/>
      <w:marLeft w:val="0"/>
      <w:marRight w:val="0"/>
      <w:marTop w:val="0"/>
      <w:marBottom w:val="0"/>
      <w:divBdr>
        <w:top w:val="none" w:sz="0" w:space="0" w:color="auto"/>
        <w:left w:val="none" w:sz="0" w:space="0" w:color="auto"/>
        <w:bottom w:val="none" w:sz="0" w:space="0" w:color="auto"/>
        <w:right w:val="none" w:sz="0" w:space="0" w:color="auto"/>
      </w:divBdr>
    </w:div>
    <w:div w:id="1690645398">
      <w:bodyDiv w:val="1"/>
      <w:marLeft w:val="0"/>
      <w:marRight w:val="0"/>
      <w:marTop w:val="0"/>
      <w:marBottom w:val="0"/>
      <w:divBdr>
        <w:top w:val="none" w:sz="0" w:space="0" w:color="auto"/>
        <w:left w:val="none" w:sz="0" w:space="0" w:color="auto"/>
        <w:bottom w:val="none" w:sz="0" w:space="0" w:color="auto"/>
        <w:right w:val="none" w:sz="0" w:space="0" w:color="auto"/>
      </w:divBdr>
    </w:div>
    <w:div w:id="1704671367">
      <w:bodyDiv w:val="1"/>
      <w:marLeft w:val="0"/>
      <w:marRight w:val="0"/>
      <w:marTop w:val="0"/>
      <w:marBottom w:val="0"/>
      <w:divBdr>
        <w:top w:val="none" w:sz="0" w:space="0" w:color="auto"/>
        <w:left w:val="none" w:sz="0" w:space="0" w:color="auto"/>
        <w:bottom w:val="none" w:sz="0" w:space="0" w:color="auto"/>
        <w:right w:val="none" w:sz="0" w:space="0" w:color="auto"/>
      </w:divBdr>
    </w:div>
    <w:div w:id="1705784848">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756628492">
      <w:bodyDiv w:val="1"/>
      <w:marLeft w:val="0"/>
      <w:marRight w:val="0"/>
      <w:marTop w:val="0"/>
      <w:marBottom w:val="0"/>
      <w:divBdr>
        <w:top w:val="none" w:sz="0" w:space="0" w:color="auto"/>
        <w:left w:val="none" w:sz="0" w:space="0" w:color="auto"/>
        <w:bottom w:val="none" w:sz="0" w:space="0" w:color="auto"/>
        <w:right w:val="none" w:sz="0" w:space="0" w:color="auto"/>
      </w:divBdr>
    </w:div>
    <w:div w:id="1760953066">
      <w:bodyDiv w:val="1"/>
      <w:marLeft w:val="0"/>
      <w:marRight w:val="0"/>
      <w:marTop w:val="0"/>
      <w:marBottom w:val="0"/>
      <w:divBdr>
        <w:top w:val="none" w:sz="0" w:space="0" w:color="auto"/>
        <w:left w:val="none" w:sz="0" w:space="0" w:color="auto"/>
        <w:bottom w:val="none" w:sz="0" w:space="0" w:color="auto"/>
        <w:right w:val="none" w:sz="0" w:space="0" w:color="auto"/>
      </w:divBdr>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27089607">
      <w:bodyDiv w:val="1"/>
      <w:marLeft w:val="0"/>
      <w:marRight w:val="0"/>
      <w:marTop w:val="0"/>
      <w:marBottom w:val="0"/>
      <w:divBdr>
        <w:top w:val="none" w:sz="0" w:space="0" w:color="auto"/>
        <w:left w:val="none" w:sz="0" w:space="0" w:color="auto"/>
        <w:bottom w:val="none" w:sz="0" w:space="0" w:color="auto"/>
        <w:right w:val="none" w:sz="0" w:space="0" w:color="auto"/>
      </w:divBdr>
    </w:div>
    <w:div w:id="1838616534">
      <w:bodyDiv w:val="1"/>
      <w:marLeft w:val="0"/>
      <w:marRight w:val="0"/>
      <w:marTop w:val="0"/>
      <w:marBottom w:val="0"/>
      <w:divBdr>
        <w:top w:val="none" w:sz="0" w:space="0" w:color="auto"/>
        <w:left w:val="none" w:sz="0" w:space="0" w:color="auto"/>
        <w:bottom w:val="none" w:sz="0" w:space="0" w:color="auto"/>
        <w:right w:val="none" w:sz="0" w:space="0" w:color="auto"/>
      </w:divBdr>
    </w:div>
    <w:div w:id="1849327237">
      <w:bodyDiv w:val="1"/>
      <w:marLeft w:val="0"/>
      <w:marRight w:val="0"/>
      <w:marTop w:val="0"/>
      <w:marBottom w:val="0"/>
      <w:divBdr>
        <w:top w:val="none" w:sz="0" w:space="0" w:color="auto"/>
        <w:left w:val="none" w:sz="0" w:space="0" w:color="auto"/>
        <w:bottom w:val="none" w:sz="0" w:space="0" w:color="auto"/>
        <w:right w:val="none" w:sz="0" w:space="0" w:color="auto"/>
      </w:divBdr>
    </w:div>
    <w:div w:id="1854303386">
      <w:bodyDiv w:val="1"/>
      <w:marLeft w:val="0"/>
      <w:marRight w:val="0"/>
      <w:marTop w:val="0"/>
      <w:marBottom w:val="0"/>
      <w:divBdr>
        <w:top w:val="none" w:sz="0" w:space="0" w:color="auto"/>
        <w:left w:val="none" w:sz="0" w:space="0" w:color="auto"/>
        <w:bottom w:val="none" w:sz="0" w:space="0" w:color="auto"/>
        <w:right w:val="none" w:sz="0" w:space="0" w:color="auto"/>
      </w:divBdr>
    </w:div>
    <w:div w:id="1864510365">
      <w:bodyDiv w:val="1"/>
      <w:marLeft w:val="0"/>
      <w:marRight w:val="0"/>
      <w:marTop w:val="0"/>
      <w:marBottom w:val="0"/>
      <w:divBdr>
        <w:top w:val="none" w:sz="0" w:space="0" w:color="auto"/>
        <w:left w:val="none" w:sz="0" w:space="0" w:color="auto"/>
        <w:bottom w:val="none" w:sz="0" w:space="0" w:color="auto"/>
        <w:right w:val="none" w:sz="0" w:space="0" w:color="auto"/>
      </w:divBdr>
    </w:div>
    <w:div w:id="1865096866">
      <w:bodyDiv w:val="1"/>
      <w:marLeft w:val="0"/>
      <w:marRight w:val="0"/>
      <w:marTop w:val="0"/>
      <w:marBottom w:val="0"/>
      <w:divBdr>
        <w:top w:val="none" w:sz="0" w:space="0" w:color="auto"/>
        <w:left w:val="none" w:sz="0" w:space="0" w:color="auto"/>
        <w:bottom w:val="none" w:sz="0" w:space="0" w:color="auto"/>
        <w:right w:val="none" w:sz="0" w:space="0" w:color="auto"/>
      </w:divBdr>
    </w:div>
    <w:div w:id="1927153404">
      <w:bodyDiv w:val="1"/>
      <w:marLeft w:val="0"/>
      <w:marRight w:val="0"/>
      <w:marTop w:val="0"/>
      <w:marBottom w:val="0"/>
      <w:divBdr>
        <w:top w:val="none" w:sz="0" w:space="0" w:color="auto"/>
        <w:left w:val="none" w:sz="0" w:space="0" w:color="auto"/>
        <w:bottom w:val="none" w:sz="0" w:space="0" w:color="auto"/>
        <w:right w:val="none" w:sz="0" w:space="0" w:color="auto"/>
      </w:divBdr>
    </w:div>
    <w:div w:id="1929578303">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1970012838">
      <w:bodyDiv w:val="1"/>
      <w:marLeft w:val="0"/>
      <w:marRight w:val="0"/>
      <w:marTop w:val="0"/>
      <w:marBottom w:val="0"/>
      <w:divBdr>
        <w:top w:val="none" w:sz="0" w:space="0" w:color="auto"/>
        <w:left w:val="none" w:sz="0" w:space="0" w:color="auto"/>
        <w:bottom w:val="none" w:sz="0" w:space="0" w:color="auto"/>
        <w:right w:val="none" w:sz="0" w:space="0" w:color="auto"/>
      </w:divBdr>
    </w:div>
    <w:div w:id="1970089567">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50254060">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 w:id="2138447549">
      <w:bodyDiv w:val="1"/>
      <w:marLeft w:val="0"/>
      <w:marRight w:val="0"/>
      <w:marTop w:val="0"/>
      <w:marBottom w:val="0"/>
      <w:divBdr>
        <w:top w:val="none" w:sz="0" w:space="0" w:color="auto"/>
        <w:left w:val="none" w:sz="0" w:space="0" w:color="auto"/>
        <w:bottom w:val="none" w:sz="0" w:space="0" w:color="auto"/>
        <w:right w:val="none" w:sz="0" w:space="0" w:color="auto"/>
      </w:divBdr>
    </w:div>
    <w:div w:id="21406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4815.20000"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garantf1://12064247.0"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2061</TotalTime>
  <Pages>12</Pages>
  <Words>1999</Words>
  <Characters>11398</Characters>
  <Application>Microsoft Office Word</Application>
  <DocSecurity>0</DocSecurity>
  <Lines>94</Lines>
  <Paragraphs>26</Paragraphs>
  <ScaleCrop>false</ScaleCrop>
  <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96</cp:revision>
  <dcterms:created xsi:type="dcterms:W3CDTF">2023-08-28T18:22:00Z</dcterms:created>
  <dcterms:modified xsi:type="dcterms:W3CDTF">2023-12-04T17:43:00Z</dcterms:modified>
</cp:coreProperties>
</file>